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43" w:rsidRPr="006248D2" w:rsidRDefault="00286543" w:rsidP="00286543">
      <w:pPr>
        <w:spacing w:after="160" w:line="320" w:lineRule="exact"/>
        <w:jc w:val="both"/>
        <w:outlineLvl w:val="0"/>
        <w:rPr>
          <w:rFonts w:asciiTheme="minorHAnsi" w:eastAsia="Calibri" w:hAnsiTheme="minorHAnsi" w:cstheme="minorHAnsi"/>
        </w:rPr>
      </w:pPr>
      <w:r w:rsidRPr="00254C06">
        <w:rPr>
          <w:rFonts w:asciiTheme="minorHAnsi" w:eastAsia="Calibri" w:hAnsiTheme="minorHAnsi" w:cstheme="minorHAnsi"/>
          <w:noProof/>
        </w:rPr>
        <mc:AlternateContent>
          <mc:Choice Requires="wps">
            <w:drawing>
              <wp:anchor distT="45720" distB="45720" distL="114300" distR="114300" simplePos="0" relativeHeight="251661312" behindDoc="0" locked="0" layoutInCell="1" allowOverlap="1" wp14:anchorId="6210C3A8" wp14:editId="382EEFB4">
                <wp:simplePos x="0" y="0"/>
                <wp:positionH relativeFrom="margin">
                  <wp:posOffset>3059457</wp:posOffset>
                </wp:positionH>
                <wp:positionV relativeFrom="paragraph">
                  <wp:posOffset>-199418</wp:posOffset>
                </wp:positionV>
                <wp:extent cx="2838616" cy="397565"/>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6" cy="397565"/>
                        </a:xfrm>
                        <a:prstGeom prst="rect">
                          <a:avLst/>
                        </a:prstGeom>
                        <a:solidFill>
                          <a:srgbClr val="FFFFFF"/>
                        </a:solidFill>
                        <a:ln w="9525">
                          <a:noFill/>
                          <a:miter lim="800000"/>
                          <a:headEnd/>
                          <a:tailEnd/>
                        </a:ln>
                      </wps:spPr>
                      <wps:txbx>
                        <w:txbxContent>
                          <w:p w:rsidR="00286543" w:rsidRDefault="00286543" w:rsidP="00286543">
                            <w:pPr>
                              <w:jc w:val="right"/>
                            </w:pPr>
                            <w:r>
                              <w:rPr>
                                <w:noProof/>
                              </w:rPr>
                              <w:drawing>
                                <wp:inline distT="0" distB="0" distL="0" distR="0" wp14:anchorId="057953F0" wp14:editId="1A95CEAB">
                                  <wp:extent cx="1907039" cy="25444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78688" cy="2640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0C3A8" id="_x0000_t202" coordsize="21600,21600" o:spt="202" path="m,l,21600r21600,l21600,xe">
                <v:stroke joinstyle="miter"/>
                <v:path gradientshapeok="t" o:connecttype="rect"/>
              </v:shapetype>
              <v:shape id="Textfeld 2" o:spid="_x0000_s1026" type="#_x0000_t202" style="position:absolute;left:0;text-align:left;margin-left:240.9pt;margin-top:-15.7pt;width:223.5pt;height:3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" stroked="f">
                <v:textbox>
                  <w:txbxContent>
                    <w:p w:rsidR="00286543" w:rsidRDefault="00286543" w:rsidP="00286543">
                      <w:pPr>
                        <w:jc w:val="right"/>
                      </w:pPr>
                      <w:r>
                        <w:rPr>
                          <w:noProof/>
                        </w:rPr>
                        <w:drawing>
                          <wp:inline distT="0" distB="0" distL="0" distR="0" wp14:anchorId="057953F0" wp14:editId="1A95CEAB">
                            <wp:extent cx="1907039" cy="25444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78688" cy="264001"/>
                                    </a:xfrm>
                                    <a:prstGeom prst="rect">
                                      <a:avLst/>
                                    </a:prstGeom>
                                    <a:noFill/>
                                    <a:ln>
                                      <a:noFill/>
                                    </a:ln>
                                  </pic:spPr>
                                </pic:pic>
                              </a:graphicData>
                            </a:graphic>
                          </wp:inline>
                        </w:drawing>
                      </w:r>
                    </w:p>
                  </w:txbxContent>
                </v:textbox>
                <w10:wrap anchorx="margin"/>
              </v:shape>
            </w:pict>
          </mc:Fallback>
        </mc:AlternateContent>
      </w:r>
    </w:p>
    <w:p w:rsidR="00286543" w:rsidRPr="006248D2" w:rsidRDefault="00286543" w:rsidP="00286543">
      <w:pPr>
        <w:tabs>
          <w:tab w:val="left" w:pos="6468"/>
        </w:tabs>
        <w:spacing w:after="160" w:line="320" w:lineRule="exact"/>
        <w:jc w:val="both"/>
        <w:outlineLvl w:val="0"/>
        <w:rPr>
          <w:rFonts w:asciiTheme="minorHAnsi" w:eastAsia="Calibri" w:hAnsiTheme="minorHAnsi" w:cstheme="minorHAnsi"/>
        </w:rPr>
      </w:pPr>
      <w:r w:rsidRPr="006248D2">
        <w:rPr>
          <w:rFonts w:asciiTheme="minorHAnsi" w:eastAsia="Calibri" w:hAnsiTheme="minorHAnsi" w:cstheme="minorHAnsi"/>
          <w:noProof/>
        </w:rPr>
        <mc:AlternateContent>
          <mc:Choice Requires="wps">
            <w:drawing>
              <wp:anchor distT="0" distB="0" distL="114300" distR="114300" simplePos="0" relativeHeight="251660288" behindDoc="0" locked="0" layoutInCell="1" allowOverlap="1" wp14:anchorId="7BAEA6E7" wp14:editId="7645D5F0">
                <wp:simplePos x="0" y="0"/>
                <wp:positionH relativeFrom="column">
                  <wp:posOffset>-2859</wp:posOffset>
                </wp:positionH>
                <wp:positionV relativeFrom="paragraph">
                  <wp:posOffset>12927</wp:posOffset>
                </wp:positionV>
                <wp:extent cx="581152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811520" cy="0"/>
                        </a:xfrm>
                        <a:prstGeom prst="line">
                          <a:avLst/>
                        </a:prstGeom>
                        <a:ln>
                          <a:solidFill>
                            <a:srgbClr val="9DB4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90814"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45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" strokecolor="#9db4c4" strokeweight=".5pt">
                <v:stroke joinstyle="miter"/>
              </v:line>
            </w:pict>
          </mc:Fallback>
        </mc:AlternateContent>
      </w:r>
      <w:r w:rsidRPr="006248D2">
        <w:rPr>
          <w:rFonts w:asciiTheme="minorHAnsi" w:eastAsia="Calibri" w:hAnsiTheme="minorHAnsi" w:cstheme="minorHAnsi"/>
          <w:noProof/>
        </w:rPr>
        <w:drawing>
          <wp:anchor distT="0" distB="0" distL="114300" distR="114300" simplePos="0" relativeHeight="251659264" behindDoc="0" locked="0" layoutInCell="1" allowOverlap="1" wp14:anchorId="702D5949" wp14:editId="16C74487">
            <wp:simplePos x="0" y="0"/>
            <wp:positionH relativeFrom="column">
              <wp:posOffset>-635</wp:posOffset>
            </wp:positionH>
            <wp:positionV relativeFrom="paragraph">
              <wp:posOffset>-523875</wp:posOffset>
            </wp:positionV>
            <wp:extent cx="2880000" cy="34356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204_MHB_Logo_CMYK_AO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34356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Calibri" w:hAnsiTheme="minorHAnsi" w:cstheme="minorHAnsi"/>
        </w:rPr>
        <w:tab/>
      </w:r>
    </w:p>
    <w:p w:rsidR="00286543" w:rsidRDefault="00286543" w:rsidP="00286543">
      <w:pPr>
        <w:tabs>
          <w:tab w:val="left" w:pos="2790"/>
        </w:tabs>
        <w:spacing w:after="160" w:line="320" w:lineRule="exact"/>
        <w:jc w:val="both"/>
        <w:outlineLvl w:val="0"/>
        <w:rPr>
          <w:rFonts w:asciiTheme="minorHAnsi" w:hAnsiTheme="minorHAnsi" w:cstheme="minorHAnsi"/>
          <w:b/>
          <w:sz w:val="24"/>
          <w:szCs w:val="24"/>
        </w:rPr>
      </w:pPr>
      <w:r w:rsidRPr="007C4151">
        <w:rPr>
          <w:rFonts w:asciiTheme="minorHAnsi" w:hAnsiTheme="minorHAnsi" w:cstheme="minorHAnsi"/>
          <w:b/>
          <w:sz w:val="24"/>
          <w:szCs w:val="24"/>
        </w:rPr>
        <w:t>Pressemitteilung</w:t>
      </w:r>
    </w:p>
    <w:p w:rsidR="00286543" w:rsidRPr="007C4151" w:rsidRDefault="00286543" w:rsidP="00286543">
      <w:pPr>
        <w:tabs>
          <w:tab w:val="left" w:pos="2790"/>
        </w:tabs>
        <w:spacing w:after="160" w:line="320" w:lineRule="exact"/>
        <w:jc w:val="both"/>
        <w:outlineLvl w:val="0"/>
        <w:rPr>
          <w:rFonts w:asciiTheme="minorHAnsi" w:hAnsiTheme="minorHAnsi" w:cstheme="minorHAnsi"/>
          <w:b/>
          <w:sz w:val="24"/>
          <w:szCs w:val="24"/>
        </w:rPr>
      </w:pPr>
    </w:p>
    <w:p w:rsidR="00286543" w:rsidRPr="00107789" w:rsidRDefault="00286543" w:rsidP="00286543">
      <w:pPr>
        <w:pStyle w:val="MHBKText"/>
        <w:spacing w:line="240" w:lineRule="auto"/>
        <w:rPr>
          <w:rFonts w:asciiTheme="minorHAnsi" w:hAnsiTheme="minorHAnsi" w:cstheme="minorHAnsi"/>
          <w:b/>
          <w:sz w:val="28"/>
          <w:szCs w:val="28"/>
        </w:rPr>
      </w:pPr>
      <w:r w:rsidRPr="007C4151">
        <w:rPr>
          <w:rFonts w:asciiTheme="minorHAnsi" w:hAnsiTheme="minorHAnsi" w:cstheme="minorHAnsi"/>
          <w:b/>
          <w:sz w:val="28"/>
          <w:szCs w:val="28"/>
        </w:rPr>
        <w:t xml:space="preserve">Insolvenzverfahren Green City AG </w:t>
      </w:r>
      <w:r>
        <w:rPr>
          <w:rFonts w:asciiTheme="minorHAnsi" w:hAnsiTheme="minorHAnsi" w:cstheme="minorHAnsi"/>
          <w:b/>
          <w:sz w:val="28"/>
          <w:szCs w:val="28"/>
        </w:rPr>
        <w:t>ist eröffnet - Investorenprozess befindet sich in finaler Phase</w:t>
      </w:r>
    </w:p>
    <w:p w:rsidR="00286543" w:rsidRPr="00C271A5" w:rsidRDefault="00286543" w:rsidP="00286543">
      <w:pPr>
        <w:numPr>
          <w:ilvl w:val="0"/>
          <w:numId w:val="1"/>
        </w:numPr>
        <w:shd w:val="clear" w:color="auto" w:fill="FFFFFF"/>
        <w:spacing w:before="100" w:beforeAutospacing="1" w:after="120" w:line="276" w:lineRule="auto"/>
        <w:ind w:left="363" w:hanging="357"/>
        <w:rPr>
          <w:rFonts w:asciiTheme="minorHAnsi" w:hAnsiTheme="minorHAnsi" w:cstheme="minorHAnsi"/>
          <w:sz w:val="24"/>
          <w:szCs w:val="24"/>
        </w:rPr>
      </w:pPr>
      <w:r>
        <w:rPr>
          <w:rFonts w:asciiTheme="minorHAnsi" w:hAnsiTheme="minorHAnsi" w:cstheme="minorHAnsi"/>
          <w:b/>
          <w:sz w:val="24"/>
          <w:szCs w:val="24"/>
        </w:rPr>
        <w:t>Sanierungsexperte Axel W. Bierbach wurde zum Insolvenzverwalter bestellt</w:t>
      </w:r>
    </w:p>
    <w:p w:rsidR="00286543" w:rsidRPr="00023BF6" w:rsidRDefault="00286543" w:rsidP="00286543">
      <w:pPr>
        <w:numPr>
          <w:ilvl w:val="0"/>
          <w:numId w:val="1"/>
        </w:numPr>
        <w:shd w:val="clear" w:color="auto" w:fill="FFFFFF"/>
        <w:spacing w:before="100" w:beforeAutospacing="1" w:after="120" w:line="276" w:lineRule="auto"/>
        <w:ind w:left="363" w:hanging="357"/>
        <w:rPr>
          <w:rFonts w:asciiTheme="minorHAnsi" w:hAnsiTheme="minorHAnsi" w:cstheme="minorHAnsi"/>
          <w:sz w:val="24"/>
          <w:szCs w:val="24"/>
        </w:rPr>
      </w:pPr>
      <w:r w:rsidRPr="00023BF6">
        <w:rPr>
          <w:rFonts w:asciiTheme="minorHAnsi" w:hAnsiTheme="minorHAnsi" w:cstheme="minorHAnsi"/>
          <w:b/>
          <w:sz w:val="24"/>
          <w:szCs w:val="24"/>
        </w:rPr>
        <w:t xml:space="preserve">Stabilisierung </w:t>
      </w:r>
      <w:r>
        <w:rPr>
          <w:rFonts w:asciiTheme="minorHAnsi" w:hAnsiTheme="minorHAnsi" w:cstheme="minorHAnsi"/>
          <w:b/>
          <w:sz w:val="24"/>
          <w:szCs w:val="24"/>
        </w:rPr>
        <w:t xml:space="preserve">und Fortführung </w:t>
      </w:r>
      <w:r w:rsidRPr="00023BF6">
        <w:rPr>
          <w:rFonts w:asciiTheme="minorHAnsi" w:hAnsiTheme="minorHAnsi" w:cstheme="minorHAnsi"/>
          <w:b/>
          <w:sz w:val="24"/>
          <w:szCs w:val="24"/>
        </w:rPr>
        <w:t xml:space="preserve">des Geschäftsbetriebs </w:t>
      </w:r>
      <w:r>
        <w:rPr>
          <w:rFonts w:asciiTheme="minorHAnsi" w:hAnsiTheme="minorHAnsi" w:cstheme="minorHAnsi"/>
          <w:b/>
          <w:sz w:val="24"/>
          <w:szCs w:val="24"/>
        </w:rPr>
        <w:t xml:space="preserve">ist </w:t>
      </w:r>
      <w:r w:rsidRPr="00023BF6">
        <w:rPr>
          <w:rFonts w:asciiTheme="minorHAnsi" w:hAnsiTheme="minorHAnsi" w:cstheme="minorHAnsi"/>
          <w:b/>
          <w:sz w:val="24"/>
          <w:szCs w:val="24"/>
        </w:rPr>
        <w:t>gelungen</w:t>
      </w:r>
    </w:p>
    <w:p w:rsidR="00286543" w:rsidRPr="00023BF6" w:rsidRDefault="00286543" w:rsidP="00286543">
      <w:pPr>
        <w:numPr>
          <w:ilvl w:val="0"/>
          <w:numId w:val="1"/>
        </w:numPr>
        <w:shd w:val="clear" w:color="auto" w:fill="FFFFFF"/>
        <w:spacing w:before="100" w:beforeAutospacing="1" w:after="120" w:line="276" w:lineRule="auto"/>
        <w:ind w:left="363" w:hanging="357"/>
        <w:rPr>
          <w:rFonts w:asciiTheme="minorHAnsi" w:hAnsiTheme="minorHAnsi" w:cstheme="minorHAnsi"/>
          <w:sz w:val="24"/>
          <w:szCs w:val="24"/>
        </w:rPr>
      </w:pPr>
      <w:r w:rsidRPr="00023BF6">
        <w:rPr>
          <w:rFonts w:asciiTheme="minorHAnsi" w:hAnsiTheme="minorHAnsi" w:cstheme="minorHAnsi"/>
          <w:b/>
          <w:sz w:val="24"/>
          <w:szCs w:val="24"/>
        </w:rPr>
        <w:t>Restrukturierung</w:t>
      </w:r>
      <w:r>
        <w:rPr>
          <w:rFonts w:asciiTheme="minorHAnsi" w:hAnsiTheme="minorHAnsi" w:cstheme="minorHAnsi"/>
          <w:b/>
          <w:sz w:val="24"/>
          <w:szCs w:val="24"/>
        </w:rPr>
        <w:t xml:space="preserve">sprozess ist </w:t>
      </w:r>
      <w:r w:rsidRPr="00023BF6">
        <w:rPr>
          <w:rFonts w:asciiTheme="minorHAnsi" w:hAnsiTheme="minorHAnsi" w:cstheme="minorHAnsi"/>
          <w:b/>
          <w:sz w:val="24"/>
          <w:szCs w:val="24"/>
        </w:rPr>
        <w:t>auf einem guten Weg</w:t>
      </w:r>
    </w:p>
    <w:p w:rsidR="00286543" w:rsidRPr="00BA3847" w:rsidRDefault="00286543" w:rsidP="00286543">
      <w:pPr>
        <w:numPr>
          <w:ilvl w:val="0"/>
          <w:numId w:val="1"/>
        </w:numPr>
        <w:shd w:val="clear" w:color="auto" w:fill="FFFFFF"/>
        <w:spacing w:before="100" w:beforeAutospacing="1" w:after="120" w:line="276" w:lineRule="auto"/>
        <w:ind w:left="363" w:hanging="357"/>
        <w:rPr>
          <w:rFonts w:asciiTheme="minorHAnsi" w:hAnsiTheme="minorHAnsi" w:cstheme="minorHAnsi"/>
          <w:sz w:val="24"/>
          <w:szCs w:val="24"/>
        </w:rPr>
      </w:pPr>
      <w:r>
        <w:rPr>
          <w:rFonts w:asciiTheme="minorHAnsi" w:hAnsiTheme="minorHAnsi" w:cstheme="minorHAnsi"/>
          <w:b/>
          <w:sz w:val="24"/>
          <w:szCs w:val="24"/>
        </w:rPr>
        <w:t>Investorengespräche sind bereits</w:t>
      </w:r>
      <w:r w:rsidRPr="00BA3847">
        <w:rPr>
          <w:rFonts w:asciiTheme="minorHAnsi" w:hAnsiTheme="minorHAnsi" w:cstheme="minorHAnsi"/>
          <w:b/>
          <w:sz w:val="24"/>
          <w:szCs w:val="24"/>
        </w:rPr>
        <w:t xml:space="preserve"> weit </w:t>
      </w:r>
      <w:r w:rsidRPr="000C10F4">
        <w:rPr>
          <w:rFonts w:asciiTheme="minorHAnsi" w:hAnsiTheme="minorHAnsi" w:cstheme="minorHAnsi"/>
          <w:b/>
          <w:sz w:val="24"/>
          <w:szCs w:val="24"/>
        </w:rPr>
        <w:t>fortgeschritten/ Positive Fortführungsprognose</w:t>
      </w:r>
    </w:p>
    <w:p w:rsidR="00286543" w:rsidRDefault="00286543" w:rsidP="00286543">
      <w:pPr>
        <w:spacing w:after="160" w:line="360" w:lineRule="auto"/>
        <w:jc w:val="both"/>
        <w:rPr>
          <w:rFonts w:asciiTheme="minorHAnsi" w:hAnsiTheme="minorHAnsi" w:cstheme="minorHAnsi"/>
          <w:b/>
          <w:szCs w:val="22"/>
        </w:rPr>
      </w:pPr>
    </w:p>
    <w:p w:rsidR="00286543" w:rsidRDefault="00286543" w:rsidP="00286543">
      <w:pPr>
        <w:spacing w:after="160" w:line="360" w:lineRule="auto"/>
        <w:jc w:val="both"/>
        <w:rPr>
          <w:rFonts w:asciiTheme="minorHAnsi" w:hAnsiTheme="minorHAnsi" w:cstheme="minorHAnsi"/>
          <w:szCs w:val="22"/>
        </w:rPr>
      </w:pPr>
      <w:r w:rsidRPr="00C525C9">
        <w:rPr>
          <w:rFonts w:asciiTheme="minorHAnsi" w:hAnsiTheme="minorHAnsi" w:cstheme="minorHAnsi"/>
          <w:b/>
          <w:szCs w:val="22"/>
        </w:rPr>
        <w:t>München</w:t>
      </w:r>
      <w:r w:rsidRPr="003804DA">
        <w:rPr>
          <w:rFonts w:asciiTheme="minorHAnsi" w:hAnsiTheme="minorHAnsi" w:cstheme="minorHAnsi"/>
          <w:b/>
          <w:szCs w:val="22"/>
        </w:rPr>
        <w:t>, 02. Mai</w:t>
      </w:r>
      <w:r w:rsidRPr="00C525C9">
        <w:rPr>
          <w:rFonts w:asciiTheme="minorHAnsi" w:hAnsiTheme="minorHAnsi" w:cstheme="minorHAnsi"/>
          <w:b/>
          <w:szCs w:val="22"/>
        </w:rPr>
        <w:t xml:space="preserve"> 2022 – </w:t>
      </w:r>
      <w:r w:rsidRPr="00C525C9">
        <w:rPr>
          <w:rFonts w:asciiTheme="minorHAnsi" w:hAnsiTheme="minorHAnsi" w:cstheme="minorHAnsi"/>
          <w:szCs w:val="22"/>
        </w:rPr>
        <w:t xml:space="preserve">Das Amtsgericht München hat am </w:t>
      </w:r>
      <w:r>
        <w:rPr>
          <w:rFonts w:asciiTheme="minorHAnsi" w:hAnsiTheme="minorHAnsi" w:cstheme="minorHAnsi"/>
          <w:szCs w:val="22"/>
        </w:rPr>
        <w:t>01. Mai 2022</w:t>
      </w:r>
      <w:r w:rsidRPr="00C525C9">
        <w:rPr>
          <w:rFonts w:asciiTheme="minorHAnsi" w:hAnsiTheme="minorHAnsi" w:cstheme="minorHAnsi"/>
          <w:szCs w:val="22"/>
        </w:rPr>
        <w:t xml:space="preserve"> d</w:t>
      </w:r>
      <w:r>
        <w:rPr>
          <w:rFonts w:asciiTheme="minorHAnsi" w:hAnsiTheme="minorHAnsi" w:cstheme="minorHAnsi"/>
          <w:szCs w:val="22"/>
        </w:rPr>
        <w:t xml:space="preserve">as Insolvenzverfahren </w:t>
      </w:r>
      <w:r w:rsidRPr="001266C6">
        <w:rPr>
          <w:rFonts w:asciiTheme="minorHAnsi" w:hAnsiTheme="minorHAnsi" w:cstheme="minorHAnsi"/>
          <w:szCs w:val="22"/>
        </w:rPr>
        <w:t xml:space="preserve">über das Vermögen der Green City AG </w:t>
      </w:r>
      <w:r>
        <w:rPr>
          <w:rFonts w:asciiTheme="minorHAnsi" w:hAnsiTheme="minorHAnsi" w:cstheme="minorHAnsi"/>
          <w:szCs w:val="22"/>
        </w:rPr>
        <w:t xml:space="preserve">eröffnet </w:t>
      </w:r>
      <w:r w:rsidRPr="001266C6">
        <w:rPr>
          <w:rFonts w:asciiTheme="minorHAnsi" w:hAnsiTheme="minorHAnsi" w:cstheme="minorHAnsi"/>
          <w:szCs w:val="22"/>
        </w:rPr>
        <w:t>und den Rechtsanwalt und Sanierungsexperten Axel W. Bierbach von der Kanzlei Müller-Heydenreich Bierbach &amp; Kollegen</w:t>
      </w:r>
      <w:r w:rsidRPr="00C525C9">
        <w:rPr>
          <w:rFonts w:asciiTheme="minorHAnsi" w:hAnsiTheme="minorHAnsi" w:cstheme="minorHAnsi"/>
          <w:szCs w:val="22"/>
        </w:rPr>
        <w:t xml:space="preserve"> (München) zum Insolvenzverwalter bestellt. </w:t>
      </w:r>
      <w:r>
        <w:rPr>
          <w:rFonts w:asciiTheme="minorHAnsi" w:hAnsiTheme="minorHAnsi" w:cstheme="minorHAnsi"/>
          <w:szCs w:val="22"/>
        </w:rPr>
        <w:t xml:space="preserve">Bierbach war seit der Anordnung der vorläufigen Insolvenzverwaltung über den </w:t>
      </w:r>
      <w:r w:rsidRPr="004E7580">
        <w:rPr>
          <w:rFonts w:asciiTheme="minorHAnsi" w:hAnsiTheme="minorHAnsi" w:cstheme="minorHAnsi"/>
          <w:szCs w:val="22"/>
        </w:rPr>
        <w:t>ganzheitlichen Anbieter für Entwicklung, Bau, Finanzierung und Betrieb von Erneuerbaren-Energien-Anlagen am 2</w:t>
      </w:r>
      <w:r>
        <w:rPr>
          <w:rFonts w:asciiTheme="minorHAnsi" w:hAnsiTheme="minorHAnsi" w:cstheme="minorHAnsi"/>
          <w:szCs w:val="22"/>
        </w:rPr>
        <w:t>6</w:t>
      </w:r>
      <w:r w:rsidRPr="004E7580">
        <w:rPr>
          <w:rFonts w:asciiTheme="minorHAnsi" w:hAnsiTheme="minorHAnsi" w:cstheme="minorHAnsi"/>
          <w:szCs w:val="22"/>
        </w:rPr>
        <w:t xml:space="preserve">. Januar 2022 bereits als vorläufiger Insolvenzverwalter tätig. In diesem Zeitraum ist es ihm gelungen, den Geschäftsbetrieb mit </w:t>
      </w:r>
      <w:r w:rsidRPr="00314298">
        <w:rPr>
          <w:rFonts w:asciiTheme="minorHAnsi" w:hAnsiTheme="minorHAnsi" w:cstheme="minorHAnsi"/>
          <w:szCs w:val="22"/>
        </w:rPr>
        <w:t xml:space="preserve">seinen rund 120 </w:t>
      </w:r>
      <w:proofErr w:type="spellStart"/>
      <w:r w:rsidRPr="00314298">
        <w:rPr>
          <w:rFonts w:asciiTheme="minorHAnsi" w:hAnsiTheme="minorHAnsi" w:cstheme="minorHAnsi"/>
          <w:szCs w:val="22"/>
        </w:rPr>
        <w:t>Mitarbeiter:innen</w:t>
      </w:r>
      <w:proofErr w:type="spellEnd"/>
      <w:r w:rsidRPr="00314298">
        <w:rPr>
          <w:rFonts w:asciiTheme="minorHAnsi" w:hAnsiTheme="minorHAnsi" w:cstheme="minorHAnsi"/>
          <w:szCs w:val="22"/>
        </w:rPr>
        <w:t xml:space="preserve"> zu stabilisieren und in vollem Umfang fortzuführen sowie die</w:t>
      </w:r>
      <w:r>
        <w:rPr>
          <w:rFonts w:asciiTheme="minorHAnsi" w:hAnsiTheme="minorHAnsi" w:cstheme="minorHAnsi"/>
          <w:szCs w:val="22"/>
        </w:rPr>
        <w:t xml:space="preserve"> notwendige Restrukturierung des Unternehmens auf den Weg zu bringen. Der Investorenprozess mit dem Ziel, das insolvente Energiewende-Unternehmen an einen geeigneten Käufer zu veräußern, verläuft sehr erfolgversprechend und befindet sich bereits in der finalen Phase. </w:t>
      </w:r>
    </w:p>
    <w:p w:rsidR="00286543" w:rsidRDefault="00286543" w:rsidP="00286543">
      <w:pPr>
        <w:spacing w:after="160" w:line="360" w:lineRule="auto"/>
        <w:jc w:val="both"/>
        <w:rPr>
          <w:rFonts w:asciiTheme="minorHAnsi" w:hAnsiTheme="minorHAnsi" w:cstheme="minorHAnsi"/>
          <w:szCs w:val="22"/>
        </w:rPr>
      </w:pPr>
      <w:r>
        <w:rPr>
          <w:rFonts w:asciiTheme="minorHAnsi" w:hAnsiTheme="minorHAnsi" w:cstheme="minorHAnsi"/>
          <w:szCs w:val="22"/>
        </w:rPr>
        <w:t xml:space="preserve">„Die Prüfung der wirtschaftlichen Situation der Green City AG mit </w:t>
      </w:r>
      <w:r w:rsidRPr="00286543">
        <w:rPr>
          <w:rFonts w:asciiTheme="minorHAnsi" w:hAnsiTheme="minorHAnsi" w:cstheme="minorHAnsi"/>
          <w:szCs w:val="22"/>
        </w:rPr>
        <w:t>ihren ca. 150 zur</w:t>
      </w:r>
      <w:r>
        <w:rPr>
          <w:rFonts w:asciiTheme="minorHAnsi" w:hAnsiTheme="minorHAnsi" w:cstheme="minorHAnsi"/>
          <w:szCs w:val="22"/>
        </w:rPr>
        <w:t xml:space="preserve"> Unternehmensgruppe gehörenden in- und ausländischen Gesellschaften hat sich als äußerst herausfordernd erwiesen. Wir arbeiten mit hohem Aufwand an der Entflechtung der komplexen Konzernstrukturen, insbesondere an der Herauslösung der zahlreichen Projektgesellschaften aus dem Gesamtkonzern“, sagte Insolvenzverwalter Axel Bierbach am Montag in München. Höchste Priorität sei es, das Projektentwicklungsgeschäft der Green City AG mit einer klaren Fortführungsperspektive zu verkaufen. „Durch den Verkauf werden die Arbeitsplätze </w:t>
      </w:r>
      <w:r w:rsidRPr="00286543">
        <w:rPr>
          <w:rFonts w:asciiTheme="minorHAnsi" w:hAnsiTheme="minorHAnsi" w:cstheme="minorHAnsi"/>
          <w:szCs w:val="22"/>
        </w:rPr>
        <w:t>und die wirtschaftlich und ökologisch</w:t>
      </w:r>
      <w:r>
        <w:rPr>
          <w:rFonts w:asciiTheme="minorHAnsi" w:hAnsiTheme="minorHAnsi" w:cstheme="minorHAnsi"/>
          <w:szCs w:val="22"/>
        </w:rPr>
        <w:t xml:space="preserve"> wertvollen Projekte für neue Kraftwerke gesichert sowie die zur Gläubigerbefriedigung notwendigen Erlöse realisiert“, so Bierbach.</w:t>
      </w:r>
    </w:p>
    <w:p w:rsidR="00286543" w:rsidRDefault="00286543" w:rsidP="00286543">
      <w:pPr>
        <w:spacing w:after="160" w:line="360" w:lineRule="auto"/>
        <w:jc w:val="both"/>
        <w:rPr>
          <w:rFonts w:asciiTheme="minorHAnsi" w:hAnsiTheme="minorHAnsi" w:cstheme="minorHAnsi"/>
          <w:szCs w:val="22"/>
        </w:rPr>
      </w:pPr>
      <w:r>
        <w:rPr>
          <w:rFonts w:asciiTheme="minorHAnsi" w:hAnsiTheme="minorHAnsi" w:cstheme="minorHAnsi"/>
          <w:szCs w:val="22"/>
        </w:rPr>
        <w:lastRenderedPageBreak/>
        <w:t xml:space="preserve"> „Wir setzen alles daran, das Unternehmen im Vorfeld des Verkaufs strukturell bestmöglich aufzustellen“, betonte der Insolvenzverwalter. So wurden bereits die Projektrechte für einen Solarpark in Brandenburg verkauft; </w:t>
      </w:r>
      <w:r w:rsidRPr="00314298">
        <w:rPr>
          <w:rFonts w:asciiTheme="minorHAnsi" w:hAnsiTheme="minorHAnsi" w:cstheme="minorHAnsi"/>
          <w:szCs w:val="22"/>
        </w:rPr>
        <w:t>zahlreiche weitere Assets der mehrere hundert Megawatt umfassenden Projektpipeline prüft</w:t>
      </w:r>
      <w:r>
        <w:rPr>
          <w:rFonts w:asciiTheme="minorHAnsi" w:hAnsiTheme="minorHAnsi" w:cstheme="minorHAnsi"/>
          <w:szCs w:val="22"/>
        </w:rPr>
        <w:t xml:space="preserve"> und strukturiert </w:t>
      </w:r>
      <w:r w:rsidRPr="00314298">
        <w:rPr>
          <w:rFonts w:asciiTheme="minorHAnsi" w:hAnsiTheme="minorHAnsi" w:cstheme="minorHAnsi"/>
          <w:szCs w:val="22"/>
        </w:rPr>
        <w:t xml:space="preserve">der Insolvenzverwalter derzeit </w:t>
      </w:r>
      <w:r>
        <w:rPr>
          <w:rFonts w:asciiTheme="minorHAnsi" w:hAnsiTheme="minorHAnsi" w:cstheme="minorHAnsi"/>
          <w:szCs w:val="22"/>
        </w:rPr>
        <w:t>für</w:t>
      </w:r>
      <w:r w:rsidRPr="00314298">
        <w:rPr>
          <w:rFonts w:asciiTheme="minorHAnsi" w:hAnsiTheme="minorHAnsi" w:cstheme="minorHAnsi"/>
          <w:szCs w:val="22"/>
        </w:rPr>
        <w:t xml:space="preserve"> einen Verkauf.</w:t>
      </w:r>
      <w:r>
        <w:rPr>
          <w:rFonts w:asciiTheme="minorHAnsi" w:hAnsiTheme="minorHAnsi" w:cstheme="minorHAnsi"/>
          <w:szCs w:val="22"/>
        </w:rPr>
        <w:t xml:space="preserve"> </w:t>
      </w:r>
      <w:r w:rsidRPr="004E7580">
        <w:rPr>
          <w:rFonts w:asciiTheme="minorHAnsi" w:hAnsiTheme="minorHAnsi" w:cstheme="minorHAnsi"/>
          <w:szCs w:val="22"/>
        </w:rPr>
        <w:t xml:space="preserve">An Projektrechten für Wind- und </w:t>
      </w:r>
      <w:r w:rsidRPr="00A96475">
        <w:rPr>
          <w:rFonts w:asciiTheme="minorHAnsi" w:hAnsiTheme="minorHAnsi" w:cstheme="minorHAnsi"/>
          <w:szCs w:val="22"/>
        </w:rPr>
        <w:t>Solarkraftwerke besteht vor dem Hintergrund des derzeitigen Markthochlaufs der Erneuerbaren Energien sehr großes Interesse.</w:t>
      </w:r>
      <w:r w:rsidRPr="007F123B">
        <w:rPr>
          <w:rFonts w:asciiTheme="minorHAnsi" w:hAnsiTheme="minorHAnsi" w:cstheme="minorHAnsi"/>
          <w:szCs w:val="22"/>
        </w:rPr>
        <w:t xml:space="preserve"> Im</w:t>
      </w:r>
      <w:r w:rsidRPr="00A96475">
        <w:rPr>
          <w:rFonts w:asciiTheme="minorHAnsi" w:hAnsiTheme="minorHAnsi" w:cstheme="minorHAnsi"/>
          <w:szCs w:val="22"/>
        </w:rPr>
        <w:t xml:space="preserve"> </w:t>
      </w:r>
      <w:r>
        <w:rPr>
          <w:rFonts w:asciiTheme="minorHAnsi" w:hAnsiTheme="minorHAnsi" w:cstheme="minorHAnsi"/>
          <w:szCs w:val="22"/>
        </w:rPr>
        <w:t>Zuge der Restrukturierung und Fokussierung auf das Kerngeschäft</w:t>
      </w:r>
      <w:r w:rsidRPr="00D040EB">
        <w:rPr>
          <w:rFonts w:asciiTheme="minorHAnsi" w:hAnsiTheme="minorHAnsi" w:cstheme="minorHAnsi"/>
          <w:szCs w:val="22"/>
        </w:rPr>
        <w:t xml:space="preserve"> hat</w:t>
      </w:r>
      <w:r>
        <w:rPr>
          <w:rFonts w:asciiTheme="minorHAnsi" w:hAnsiTheme="minorHAnsi" w:cstheme="minorHAnsi"/>
          <w:szCs w:val="22"/>
        </w:rPr>
        <w:t xml:space="preserve"> die Green City AG</w:t>
      </w:r>
      <w:r w:rsidRPr="00D040EB">
        <w:rPr>
          <w:rFonts w:asciiTheme="minorHAnsi" w:hAnsiTheme="minorHAnsi" w:cstheme="minorHAnsi"/>
          <w:szCs w:val="22"/>
        </w:rPr>
        <w:t xml:space="preserve"> außerdem </w:t>
      </w:r>
      <w:r>
        <w:rPr>
          <w:rFonts w:asciiTheme="minorHAnsi" w:hAnsiTheme="minorHAnsi" w:cstheme="minorHAnsi"/>
          <w:szCs w:val="22"/>
        </w:rPr>
        <w:t xml:space="preserve">bereits </w:t>
      </w:r>
      <w:r w:rsidRPr="00D040EB">
        <w:rPr>
          <w:rFonts w:asciiTheme="minorHAnsi" w:hAnsiTheme="minorHAnsi" w:cstheme="minorHAnsi"/>
          <w:szCs w:val="22"/>
        </w:rPr>
        <w:t xml:space="preserve">die auf </w:t>
      </w:r>
      <w:r w:rsidRPr="007F123B">
        <w:rPr>
          <w:rFonts w:asciiTheme="minorHAnsi" w:hAnsiTheme="minorHAnsi" w:cstheme="minorHAnsi"/>
          <w:szCs w:val="22"/>
        </w:rPr>
        <w:t>nachhaltige Mobilität und Stadtentwicklung spezialisierte Consulting-Tochter Green City Experience GmbH an einen neuen Gesellschafter verkauft.</w:t>
      </w:r>
    </w:p>
    <w:p w:rsidR="00286543" w:rsidRDefault="00286543" w:rsidP="00286543">
      <w:pPr>
        <w:spacing w:line="360" w:lineRule="auto"/>
        <w:rPr>
          <w:rFonts w:asciiTheme="minorHAnsi" w:hAnsiTheme="minorHAnsi" w:cstheme="minorHAnsi"/>
          <w:szCs w:val="22"/>
        </w:rPr>
      </w:pPr>
      <w:r>
        <w:rPr>
          <w:rFonts w:asciiTheme="minorHAnsi" w:hAnsiTheme="minorHAnsi" w:cstheme="minorHAnsi"/>
        </w:rPr>
        <w:t xml:space="preserve">„Ich bin sehr froh, dass es uns im Zeitraum der vorläufigen Insolvenzverwaltung gelungen ist, das </w:t>
      </w:r>
      <w:r w:rsidRPr="00C525C9">
        <w:rPr>
          <w:rFonts w:asciiTheme="minorHAnsi" w:hAnsiTheme="minorHAnsi" w:cstheme="minorHAnsi"/>
          <w:szCs w:val="22"/>
        </w:rPr>
        <w:t>operative Geschäft</w:t>
      </w:r>
      <w:r>
        <w:rPr>
          <w:rFonts w:asciiTheme="minorHAnsi" w:hAnsiTheme="minorHAnsi" w:cstheme="minorHAnsi"/>
          <w:szCs w:val="22"/>
        </w:rPr>
        <w:t xml:space="preserve"> der Green City </w:t>
      </w:r>
      <w:r w:rsidRPr="00C525C9">
        <w:rPr>
          <w:rFonts w:asciiTheme="minorHAnsi" w:hAnsiTheme="minorHAnsi" w:cstheme="minorHAnsi"/>
          <w:szCs w:val="22"/>
        </w:rPr>
        <w:t>in vollem Umfang aufrecht</w:t>
      </w:r>
      <w:r>
        <w:rPr>
          <w:rFonts w:asciiTheme="minorHAnsi" w:hAnsiTheme="minorHAnsi" w:cstheme="minorHAnsi"/>
          <w:szCs w:val="22"/>
        </w:rPr>
        <w:t>zu</w:t>
      </w:r>
      <w:r w:rsidRPr="00C525C9">
        <w:rPr>
          <w:rFonts w:asciiTheme="minorHAnsi" w:hAnsiTheme="minorHAnsi" w:cstheme="minorHAnsi"/>
          <w:szCs w:val="22"/>
        </w:rPr>
        <w:t>erhalten und</w:t>
      </w:r>
      <w:r>
        <w:rPr>
          <w:rFonts w:asciiTheme="minorHAnsi" w:hAnsiTheme="minorHAnsi" w:cstheme="minorHAnsi"/>
          <w:szCs w:val="22"/>
        </w:rPr>
        <w:t xml:space="preserve"> die sich im Bau befindlichen Projekte erfolgreich ans Netz zu bringen“, sagte Sanierungsexperte Bierbach. So wurden seit dem Insolvenzantrag mit dem Windpark im saarländischen Merzig und zwei großen Solarparks in Sachsen Kraftwerke mit rund 25 Megawatt (MW) Leistung fertiggestellt. Auch der Betrieb der bereits laufenden Anlagen mit insgesamt rund 150 MW Leistung konnte nach Angaben des Insolvenzverwalters vollumfänglich sichergestellt werden. „Das ist auch der Verdienst der Belegschaft der Green City AG, die </w:t>
      </w:r>
      <w:r w:rsidRPr="00286543">
        <w:rPr>
          <w:rFonts w:asciiTheme="minorHAnsi" w:hAnsiTheme="minorHAnsi" w:cstheme="minorHAnsi"/>
          <w:szCs w:val="22"/>
        </w:rPr>
        <w:t>sich in den letzten drei Monaten trotz der belastenden Situation mit hoher Motivation für das Unternehmen eingesetzt hat“, sagte Bierbach. Der Insolvenzverwalter betonte, dass die Fortführungsaussichten für das Unternehmen und seine Mitarbeiter angesichts der positiven Rahmenbedingungen sehr gut seien.</w:t>
      </w:r>
      <w:r>
        <w:rPr>
          <w:rFonts w:asciiTheme="minorHAnsi" w:hAnsiTheme="minorHAnsi" w:cstheme="minorHAnsi"/>
          <w:szCs w:val="22"/>
        </w:rPr>
        <w:t xml:space="preserve"> </w:t>
      </w:r>
    </w:p>
    <w:p w:rsidR="00286543" w:rsidRDefault="00286543" w:rsidP="00286543">
      <w:pPr>
        <w:spacing w:line="360" w:lineRule="auto"/>
        <w:rPr>
          <w:rFonts w:asciiTheme="minorHAnsi" w:hAnsiTheme="minorHAnsi" w:cstheme="minorHAnsi"/>
        </w:rPr>
      </w:pPr>
    </w:p>
    <w:p w:rsidR="00286543" w:rsidRDefault="00286543" w:rsidP="00286543">
      <w:pPr>
        <w:spacing w:line="360" w:lineRule="auto"/>
        <w:rPr>
          <w:rFonts w:asciiTheme="minorHAnsi" w:hAnsiTheme="minorHAnsi" w:cstheme="minorHAnsi"/>
        </w:rPr>
      </w:pPr>
      <w:r>
        <w:rPr>
          <w:rFonts w:asciiTheme="minorHAnsi" w:hAnsiTheme="minorHAnsi" w:cstheme="minorHAnsi"/>
        </w:rPr>
        <w:t xml:space="preserve">Der strukturierte Investorenprozess zur Veräußerung der Green City AG, den der Insolvenzverwalter Anfang Februar unter Einschaltung des auf M&amp;A-Transaktionen spezialisierten </w:t>
      </w:r>
      <w:r w:rsidRPr="003804DA">
        <w:rPr>
          <w:rFonts w:asciiTheme="minorHAnsi" w:hAnsiTheme="minorHAnsi" w:cstheme="minorHAnsi"/>
        </w:rPr>
        <w:t xml:space="preserve">Beratungsunternehmens ACXIT </w:t>
      </w:r>
      <w:r>
        <w:rPr>
          <w:rFonts w:asciiTheme="minorHAnsi" w:hAnsiTheme="minorHAnsi" w:cstheme="minorHAnsi"/>
        </w:rPr>
        <w:t xml:space="preserve">Capital Partners </w:t>
      </w:r>
      <w:r w:rsidRPr="003804DA">
        <w:rPr>
          <w:rFonts w:asciiTheme="minorHAnsi" w:hAnsiTheme="minorHAnsi" w:cstheme="minorHAnsi"/>
        </w:rPr>
        <w:t>startete</w:t>
      </w:r>
      <w:r>
        <w:rPr>
          <w:rFonts w:asciiTheme="minorHAnsi" w:hAnsiTheme="minorHAnsi" w:cstheme="minorHAnsi"/>
        </w:rPr>
        <w:t xml:space="preserve">, verläuft sehr erfolgversprechend. „Es gab eine außergewöhnlich hohe Anzahl von Kaufinteressenten. In dem mehrstufigen Investorenprozess sind wir nun bereits in der dritten und finalen Phase und führen konkrete Verhandlungen mit einer kleinen Auswahl hochinteressierter strategischer Investoren“, teilte Bierbach mit. Der Sanierungsexperte rechnet damit, den Verkaufsprozess für die Green City AG bis Ende Mai </w:t>
      </w:r>
      <w:r w:rsidRPr="00286543">
        <w:rPr>
          <w:rFonts w:asciiTheme="minorHAnsi" w:hAnsiTheme="minorHAnsi" w:cstheme="minorHAnsi"/>
        </w:rPr>
        <w:t>abschließen zu können. „Ich bin äußerst zuversichtlich, bis</w:t>
      </w:r>
      <w:r>
        <w:rPr>
          <w:rFonts w:asciiTheme="minorHAnsi" w:hAnsiTheme="minorHAnsi" w:cstheme="minorHAnsi"/>
        </w:rPr>
        <w:t xml:space="preserve"> dahin eine gute </w:t>
      </w:r>
      <w:r w:rsidRPr="00B57D8D">
        <w:rPr>
          <w:rFonts w:asciiTheme="minorHAnsi" w:hAnsiTheme="minorHAnsi" w:cstheme="minorHAnsi"/>
        </w:rPr>
        <w:t xml:space="preserve">Fortführungslösung für das Unternehmen </w:t>
      </w:r>
      <w:r>
        <w:rPr>
          <w:rFonts w:asciiTheme="minorHAnsi" w:hAnsiTheme="minorHAnsi" w:cstheme="minorHAnsi"/>
        </w:rPr>
        <w:t xml:space="preserve">zu </w:t>
      </w:r>
      <w:r w:rsidRPr="00B57D8D">
        <w:rPr>
          <w:rFonts w:asciiTheme="minorHAnsi" w:hAnsiTheme="minorHAnsi" w:cstheme="minorHAnsi"/>
        </w:rPr>
        <w:t>finden</w:t>
      </w:r>
      <w:r>
        <w:rPr>
          <w:rFonts w:asciiTheme="minorHAnsi" w:hAnsiTheme="minorHAnsi" w:cstheme="minorHAnsi"/>
        </w:rPr>
        <w:t>, die</w:t>
      </w:r>
      <w:r w:rsidRPr="00B57D8D">
        <w:rPr>
          <w:rFonts w:asciiTheme="minorHAnsi" w:hAnsiTheme="minorHAnsi" w:cstheme="minorHAnsi"/>
        </w:rPr>
        <w:t xml:space="preserve"> </w:t>
      </w:r>
      <w:r>
        <w:rPr>
          <w:rFonts w:asciiTheme="minorHAnsi" w:hAnsiTheme="minorHAnsi" w:cstheme="minorHAnsi"/>
        </w:rPr>
        <w:t xml:space="preserve">auch </w:t>
      </w:r>
      <w:r w:rsidRPr="00B57D8D">
        <w:rPr>
          <w:rFonts w:asciiTheme="minorHAnsi" w:hAnsiTheme="minorHAnsi" w:cstheme="minorHAnsi"/>
        </w:rPr>
        <w:t xml:space="preserve">eine bestmögliche Befriedigung der Gläubiger ermöglichen </w:t>
      </w:r>
      <w:r>
        <w:rPr>
          <w:rFonts w:asciiTheme="minorHAnsi" w:hAnsiTheme="minorHAnsi" w:cstheme="minorHAnsi"/>
        </w:rPr>
        <w:t>wird</w:t>
      </w:r>
      <w:r w:rsidRPr="00B57D8D">
        <w:rPr>
          <w:rFonts w:asciiTheme="minorHAnsi" w:hAnsiTheme="minorHAnsi" w:cstheme="minorHAnsi"/>
        </w:rPr>
        <w:t>“, sagte Bierbach.</w:t>
      </w:r>
    </w:p>
    <w:p w:rsidR="00286543" w:rsidRDefault="00286543" w:rsidP="00286543">
      <w:pPr>
        <w:spacing w:line="360" w:lineRule="auto"/>
        <w:rPr>
          <w:rFonts w:asciiTheme="minorHAnsi" w:hAnsiTheme="minorHAnsi" w:cstheme="minorHAnsi"/>
        </w:rPr>
      </w:pPr>
    </w:p>
    <w:p w:rsidR="00286543" w:rsidRDefault="00286543" w:rsidP="00286543">
      <w:pPr>
        <w:spacing w:line="360" w:lineRule="auto"/>
        <w:rPr>
          <w:rFonts w:asciiTheme="minorHAnsi" w:hAnsiTheme="minorHAnsi" w:cstheme="minorHAnsi"/>
        </w:rPr>
      </w:pPr>
      <w:r>
        <w:rPr>
          <w:rFonts w:asciiTheme="minorHAnsi" w:hAnsiTheme="minorHAnsi" w:cstheme="minorHAnsi"/>
        </w:rPr>
        <w:t>Für die ebenfalls insolventen Green City-Konzerngesellschaften G</w:t>
      </w:r>
      <w:r w:rsidR="00970A97">
        <w:rPr>
          <w:rFonts w:asciiTheme="minorHAnsi" w:hAnsiTheme="minorHAnsi" w:cstheme="minorHAnsi"/>
        </w:rPr>
        <w:t>CE</w:t>
      </w:r>
      <w:r>
        <w:rPr>
          <w:rFonts w:asciiTheme="minorHAnsi" w:hAnsiTheme="minorHAnsi" w:cstheme="minorHAnsi"/>
        </w:rPr>
        <w:t xml:space="preserve"> Kraftwerkspark I GmbH, </w:t>
      </w:r>
      <w:r w:rsidRPr="00D66236">
        <w:rPr>
          <w:rFonts w:asciiTheme="minorHAnsi" w:hAnsiTheme="minorHAnsi" w:cstheme="minorHAnsi"/>
        </w:rPr>
        <w:t xml:space="preserve">Green City </w:t>
      </w:r>
      <w:proofErr w:type="spellStart"/>
      <w:r w:rsidRPr="00D66236">
        <w:rPr>
          <w:rFonts w:asciiTheme="minorHAnsi" w:hAnsiTheme="minorHAnsi" w:cstheme="minorHAnsi"/>
        </w:rPr>
        <w:t>Energy</w:t>
      </w:r>
      <w:proofErr w:type="spellEnd"/>
      <w:r w:rsidRPr="00D66236">
        <w:rPr>
          <w:rFonts w:asciiTheme="minorHAnsi" w:hAnsiTheme="minorHAnsi" w:cstheme="minorHAnsi"/>
        </w:rPr>
        <w:t xml:space="preserve"> Kraftwerkspark II GmbH &amp; Co. </w:t>
      </w:r>
      <w:r w:rsidRPr="00FF1B29">
        <w:rPr>
          <w:rFonts w:asciiTheme="minorHAnsi" w:hAnsiTheme="minorHAnsi" w:cstheme="minorHAnsi"/>
          <w:lang w:val="en-US"/>
        </w:rPr>
        <w:t xml:space="preserve">KG, Green City Energy </w:t>
      </w:r>
      <w:proofErr w:type="spellStart"/>
      <w:r w:rsidRPr="00FF1B29">
        <w:rPr>
          <w:rFonts w:asciiTheme="minorHAnsi" w:hAnsiTheme="minorHAnsi" w:cstheme="minorHAnsi"/>
          <w:lang w:val="en-US"/>
        </w:rPr>
        <w:t>Kraftwerkspark</w:t>
      </w:r>
      <w:proofErr w:type="spellEnd"/>
      <w:r w:rsidRPr="00FF1B29">
        <w:rPr>
          <w:rFonts w:asciiTheme="minorHAnsi" w:hAnsiTheme="minorHAnsi" w:cstheme="minorHAnsi"/>
          <w:lang w:val="en-US"/>
        </w:rPr>
        <w:t xml:space="preserve"> III GmbH &amp; Co. KG </w:t>
      </w:r>
      <w:proofErr w:type="spellStart"/>
      <w:r w:rsidRPr="00FF1B29">
        <w:rPr>
          <w:rFonts w:asciiTheme="minorHAnsi" w:hAnsiTheme="minorHAnsi" w:cstheme="minorHAnsi"/>
          <w:lang w:val="en-US"/>
        </w:rPr>
        <w:t>sowie</w:t>
      </w:r>
      <w:proofErr w:type="spellEnd"/>
      <w:r w:rsidRPr="00FF1B29">
        <w:rPr>
          <w:rFonts w:asciiTheme="minorHAnsi" w:hAnsiTheme="minorHAnsi" w:cstheme="minorHAnsi"/>
          <w:lang w:val="en-US"/>
        </w:rPr>
        <w:t xml:space="preserve"> Green City </w:t>
      </w:r>
      <w:proofErr w:type="spellStart"/>
      <w:r w:rsidRPr="00FF1B29">
        <w:rPr>
          <w:rFonts w:asciiTheme="minorHAnsi" w:hAnsiTheme="minorHAnsi" w:cstheme="minorHAnsi"/>
          <w:lang w:val="en-US"/>
        </w:rPr>
        <w:t>Solarimpuls</w:t>
      </w:r>
      <w:proofErr w:type="spellEnd"/>
      <w:r w:rsidRPr="00FF1B29">
        <w:rPr>
          <w:rFonts w:asciiTheme="minorHAnsi" w:hAnsiTheme="minorHAnsi" w:cstheme="minorHAnsi"/>
          <w:lang w:val="en-US"/>
        </w:rPr>
        <w:t xml:space="preserve"> I GmbH &amp; Co. </w:t>
      </w:r>
      <w:r w:rsidRPr="00D66236">
        <w:rPr>
          <w:rFonts w:asciiTheme="minorHAnsi" w:hAnsiTheme="minorHAnsi" w:cstheme="minorHAnsi"/>
        </w:rPr>
        <w:t>KG</w:t>
      </w:r>
      <w:r>
        <w:rPr>
          <w:rFonts w:asciiTheme="minorHAnsi" w:hAnsiTheme="minorHAnsi" w:cstheme="minorHAnsi"/>
        </w:rPr>
        <w:t xml:space="preserve"> prüft der Insolvenzverwalter ebenfalls verschiedene </w:t>
      </w:r>
      <w:r>
        <w:rPr>
          <w:rFonts w:asciiTheme="minorHAnsi" w:hAnsiTheme="minorHAnsi" w:cstheme="minorHAnsi"/>
        </w:rPr>
        <w:lastRenderedPageBreak/>
        <w:t xml:space="preserve">Lösungsoptionen. Bis es soweit sei, werde es </w:t>
      </w:r>
      <w:r>
        <w:rPr>
          <w:rFonts w:asciiTheme="minorHAnsi" w:hAnsiTheme="minorHAnsi" w:cstheme="minorHAnsi"/>
          <w:szCs w:val="22"/>
        </w:rPr>
        <w:t xml:space="preserve">auf Grund der komplexen Situation jedoch noch eine ganze Weile dauern, sagte Bierbach. </w:t>
      </w:r>
      <w:r>
        <w:rPr>
          <w:rFonts w:asciiTheme="minorHAnsi" w:hAnsiTheme="minorHAnsi" w:cstheme="minorHAnsi"/>
        </w:rPr>
        <w:t xml:space="preserve">Die </w:t>
      </w:r>
      <w:r w:rsidRPr="003804DA">
        <w:rPr>
          <w:rFonts w:asciiTheme="minorHAnsi" w:hAnsiTheme="minorHAnsi" w:cstheme="minorHAnsi"/>
        </w:rPr>
        <w:t xml:space="preserve">Insolvenzverfahren über die vier </w:t>
      </w:r>
      <w:r>
        <w:rPr>
          <w:rFonts w:asciiTheme="minorHAnsi" w:hAnsiTheme="minorHAnsi" w:cstheme="minorHAnsi"/>
        </w:rPr>
        <w:t>Konzernge</w:t>
      </w:r>
      <w:r w:rsidRPr="003804DA">
        <w:rPr>
          <w:rFonts w:asciiTheme="minorHAnsi" w:hAnsiTheme="minorHAnsi" w:cstheme="minorHAnsi"/>
        </w:rPr>
        <w:t>sellschaften werden</w:t>
      </w:r>
      <w:r>
        <w:rPr>
          <w:rFonts w:asciiTheme="minorHAnsi" w:hAnsiTheme="minorHAnsi" w:cstheme="minorHAnsi"/>
        </w:rPr>
        <w:t xml:space="preserve"> nach Angaben von Sanierungsexperte Bierbach voraussichtlich Anfang Juli eröffnet.  </w:t>
      </w:r>
    </w:p>
    <w:p w:rsidR="00286543" w:rsidRDefault="00286543" w:rsidP="00286543">
      <w:pPr>
        <w:spacing w:line="360" w:lineRule="auto"/>
        <w:rPr>
          <w:rFonts w:asciiTheme="minorHAnsi" w:hAnsiTheme="minorHAnsi" w:cstheme="minorHAnsi"/>
        </w:rPr>
      </w:pPr>
    </w:p>
    <w:p w:rsidR="00286543" w:rsidRDefault="00286543" w:rsidP="00286543">
      <w:pPr>
        <w:spacing w:line="360" w:lineRule="auto"/>
        <w:rPr>
          <w:rFonts w:asciiTheme="minorHAnsi" w:hAnsiTheme="minorHAnsi" w:cstheme="minorHAnsi"/>
        </w:rPr>
      </w:pPr>
    </w:p>
    <w:p w:rsidR="00286543" w:rsidRPr="00C525C9" w:rsidRDefault="00286543" w:rsidP="00286543">
      <w:pPr>
        <w:pStyle w:val="MHBKText"/>
        <w:spacing w:after="0" w:line="276" w:lineRule="auto"/>
        <w:rPr>
          <w:rFonts w:asciiTheme="minorHAnsi" w:hAnsiTheme="minorHAnsi" w:cstheme="minorHAnsi"/>
          <w:b/>
          <w:i/>
          <w:sz w:val="20"/>
        </w:rPr>
      </w:pPr>
      <w:r w:rsidRPr="00C525C9">
        <w:rPr>
          <w:rFonts w:asciiTheme="minorHAnsi" w:hAnsiTheme="minorHAnsi" w:cstheme="minorHAnsi"/>
          <w:b/>
          <w:i/>
          <w:sz w:val="20"/>
        </w:rPr>
        <w:t xml:space="preserve">Über Müller-Heydenreich Bierbach &amp; Kollegen </w:t>
      </w:r>
    </w:p>
    <w:p w:rsidR="00286543" w:rsidRPr="00C525C9" w:rsidRDefault="00286543" w:rsidP="00286543">
      <w:pPr>
        <w:pStyle w:val="MHBKText"/>
        <w:spacing w:after="0" w:line="276" w:lineRule="auto"/>
        <w:jc w:val="left"/>
        <w:rPr>
          <w:rFonts w:asciiTheme="minorHAnsi" w:hAnsiTheme="minorHAnsi" w:cstheme="minorHAnsi"/>
          <w:b/>
          <w:i/>
          <w:sz w:val="20"/>
        </w:rPr>
      </w:pPr>
      <w:r w:rsidRPr="00C525C9">
        <w:rPr>
          <w:rFonts w:asciiTheme="minorHAnsi" w:hAnsiTheme="minorHAnsi" w:cstheme="minorHAnsi"/>
          <w:i/>
          <w:sz w:val="20"/>
        </w:rPr>
        <w:t xml:space="preserve">Die Kanzlei Müller-Heydenreich Bierbach &amp; Kollegen (www.mhbk.de) ist eine seit vielen Jahren auf Sanierung und Insolvenzverwaltung spezialisierte Sozietät von Rechtsanwälten mit Standorten in ganz Bayern. Insgesamt sechs Verwalter bearbeiten Insolvenzverfahren an zahlreichen Amtsgerichten in Bayern und Thüringen. Zu den besonderen Stärken der Kanzlei zählen neben der übertragenden Sanierung auch das Insolvenzplanverfahren, die Eigenverwaltung sowie Konzern- und Gruppeninsolvenzen. </w:t>
      </w:r>
      <w:r>
        <w:rPr>
          <w:rFonts w:asciiTheme="minorHAnsi" w:hAnsiTheme="minorHAnsi" w:cstheme="minorHAnsi"/>
          <w:i/>
          <w:sz w:val="20"/>
        </w:rPr>
        <w:t xml:space="preserve">In der Erneuerbare-Energiebranche hat die Kanzlei u.a. die Insolvenzen der </w:t>
      </w:r>
      <w:proofErr w:type="spellStart"/>
      <w:r>
        <w:rPr>
          <w:rFonts w:asciiTheme="minorHAnsi" w:hAnsiTheme="minorHAnsi" w:cstheme="minorHAnsi"/>
          <w:i/>
          <w:sz w:val="20"/>
        </w:rPr>
        <w:t>Donauer</w:t>
      </w:r>
      <w:proofErr w:type="spellEnd"/>
      <w:r>
        <w:rPr>
          <w:rFonts w:asciiTheme="minorHAnsi" w:hAnsiTheme="minorHAnsi" w:cstheme="minorHAnsi"/>
          <w:i/>
          <w:sz w:val="20"/>
        </w:rPr>
        <w:t xml:space="preserve"> Solartechnik Vertriebs GmbH und der </w:t>
      </w:r>
      <w:proofErr w:type="spellStart"/>
      <w:r>
        <w:rPr>
          <w:rFonts w:asciiTheme="minorHAnsi" w:hAnsiTheme="minorHAnsi" w:cstheme="minorHAnsi"/>
          <w:i/>
          <w:sz w:val="20"/>
        </w:rPr>
        <w:t>Gehrlicher</w:t>
      </w:r>
      <w:proofErr w:type="spellEnd"/>
      <w:r>
        <w:rPr>
          <w:rFonts w:asciiTheme="minorHAnsi" w:hAnsiTheme="minorHAnsi" w:cstheme="minorHAnsi"/>
          <w:i/>
          <w:sz w:val="20"/>
        </w:rPr>
        <w:t xml:space="preserve"> </w:t>
      </w:r>
      <w:proofErr w:type="spellStart"/>
      <w:r>
        <w:rPr>
          <w:rFonts w:asciiTheme="minorHAnsi" w:hAnsiTheme="minorHAnsi" w:cstheme="minorHAnsi"/>
          <w:i/>
          <w:sz w:val="20"/>
        </w:rPr>
        <w:t>Solar</w:t>
      </w:r>
      <w:proofErr w:type="spellEnd"/>
      <w:r>
        <w:rPr>
          <w:rFonts w:asciiTheme="minorHAnsi" w:hAnsiTheme="minorHAnsi" w:cstheme="minorHAnsi"/>
          <w:i/>
          <w:sz w:val="20"/>
        </w:rPr>
        <w:t xml:space="preserve"> AG betreut.</w:t>
      </w:r>
    </w:p>
    <w:p w:rsidR="00286543" w:rsidRPr="00C525C9" w:rsidRDefault="00286543" w:rsidP="00286543">
      <w:pPr>
        <w:shd w:val="clear" w:color="auto" w:fill="FFFFFF"/>
        <w:spacing w:line="276" w:lineRule="auto"/>
        <w:rPr>
          <w:rFonts w:asciiTheme="minorHAnsi" w:hAnsiTheme="minorHAnsi" w:cstheme="minorHAnsi"/>
          <w:i/>
          <w:sz w:val="20"/>
        </w:rPr>
      </w:pPr>
      <w:r w:rsidRPr="00C525C9">
        <w:rPr>
          <w:rFonts w:asciiTheme="minorHAnsi" w:hAnsiTheme="minorHAnsi" w:cstheme="minorHAnsi"/>
          <w:b/>
          <w:i/>
          <w:sz w:val="20"/>
        </w:rPr>
        <w:t>Rechtsanwalt und Insolvenzverwalter Axel W. Bierbach</w:t>
      </w:r>
      <w:r w:rsidRPr="00C525C9">
        <w:rPr>
          <w:rFonts w:asciiTheme="minorHAnsi" w:hAnsiTheme="minorHAnsi" w:cstheme="minorHAnsi"/>
          <w:i/>
          <w:sz w:val="20"/>
        </w:rPr>
        <w:t xml:space="preserve"> ist spezialisiert auf Betriebsfortführungen und Sanierungen in einem breiten Branchenspektrum. Er hat bereits eine Vielzahl von Insolvenzen betreut. Bierbach </w:t>
      </w:r>
    </w:p>
    <w:p w:rsidR="00286543" w:rsidRPr="00C525C9" w:rsidRDefault="00286543" w:rsidP="00286543">
      <w:pPr>
        <w:shd w:val="clear" w:color="auto" w:fill="FFFFFF"/>
        <w:spacing w:line="276" w:lineRule="auto"/>
        <w:rPr>
          <w:rFonts w:asciiTheme="minorHAnsi" w:hAnsiTheme="minorHAnsi" w:cstheme="minorHAnsi"/>
          <w:i/>
          <w:sz w:val="20"/>
        </w:rPr>
      </w:pPr>
      <w:proofErr w:type="gramStart"/>
      <w:r>
        <w:rPr>
          <w:rFonts w:asciiTheme="minorHAnsi" w:hAnsiTheme="minorHAnsi" w:cstheme="minorHAnsi"/>
          <w:i/>
          <w:sz w:val="20"/>
        </w:rPr>
        <w:t>verfügt</w:t>
      </w:r>
      <w:proofErr w:type="gramEnd"/>
      <w:r>
        <w:rPr>
          <w:rFonts w:asciiTheme="minorHAnsi" w:hAnsiTheme="minorHAnsi" w:cstheme="minorHAnsi"/>
          <w:i/>
          <w:sz w:val="20"/>
        </w:rPr>
        <w:t xml:space="preserve"> </w:t>
      </w:r>
      <w:r w:rsidRPr="00C525C9">
        <w:rPr>
          <w:rFonts w:asciiTheme="minorHAnsi" w:hAnsiTheme="minorHAnsi" w:cstheme="minorHAnsi"/>
          <w:i/>
          <w:sz w:val="20"/>
        </w:rPr>
        <w:t xml:space="preserve">über umfangreiche Erfahrung in der Energiebranche. Zuletzt hat er die Insolvenzen des Billigstromanbieters BEV Bayerische Energieversorgungsgesellschaft mbH und der Fulminant Energie GmbH betreut. Bierbach ist Vorstand im Verband Insolvenzverwalter und Sachwalter Deutschlands e.V. (www.vid.de) sowie Mitglied im </w:t>
      </w:r>
      <w:proofErr w:type="spellStart"/>
      <w:r w:rsidRPr="00C525C9">
        <w:rPr>
          <w:rFonts w:asciiTheme="minorHAnsi" w:hAnsiTheme="minorHAnsi" w:cstheme="minorHAnsi"/>
          <w:i/>
          <w:sz w:val="20"/>
        </w:rPr>
        <w:t>Gravenbrucher</w:t>
      </w:r>
      <w:proofErr w:type="spellEnd"/>
      <w:r w:rsidRPr="00C525C9">
        <w:rPr>
          <w:rFonts w:asciiTheme="minorHAnsi" w:hAnsiTheme="minorHAnsi" w:cstheme="minorHAnsi"/>
          <w:i/>
          <w:sz w:val="20"/>
        </w:rPr>
        <w:t xml:space="preserve"> Kreis, dem Zusammenschluss der führenden, überregional tätigen Insolvenzverwalter und Sanierungsexperten Deutschlands, die gemäß dem exklusiven Standard InsO Excellence handeln (</w:t>
      </w:r>
      <w:hyperlink r:id="rId8" w:history="1">
        <w:r w:rsidRPr="00C525C9">
          <w:rPr>
            <w:rFonts w:asciiTheme="minorHAnsi" w:hAnsiTheme="minorHAnsi" w:cstheme="minorHAnsi"/>
            <w:i/>
            <w:sz w:val="20"/>
          </w:rPr>
          <w:t>www.gravenbrucher-kreis.de</w:t>
        </w:r>
      </w:hyperlink>
      <w:r w:rsidRPr="00C525C9">
        <w:rPr>
          <w:rFonts w:asciiTheme="minorHAnsi" w:hAnsiTheme="minorHAnsi" w:cstheme="minorHAnsi"/>
          <w:i/>
          <w:sz w:val="20"/>
        </w:rPr>
        <w:t xml:space="preserve">). In den aktuellen Branchen-Rankings von JUVE, The Legal 500, Best </w:t>
      </w:r>
      <w:proofErr w:type="spellStart"/>
      <w:r w:rsidRPr="00C525C9">
        <w:rPr>
          <w:rFonts w:asciiTheme="minorHAnsi" w:hAnsiTheme="minorHAnsi" w:cstheme="minorHAnsi"/>
          <w:i/>
          <w:sz w:val="20"/>
        </w:rPr>
        <w:t>Lawyers</w:t>
      </w:r>
      <w:proofErr w:type="spellEnd"/>
      <w:r w:rsidRPr="00C525C9">
        <w:rPr>
          <w:rFonts w:asciiTheme="minorHAnsi" w:hAnsiTheme="minorHAnsi" w:cstheme="minorHAnsi"/>
          <w:i/>
          <w:sz w:val="20"/>
        </w:rPr>
        <w:t xml:space="preserve"> und </w:t>
      </w:r>
      <w:proofErr w:type="spellStart"/>
      <w:r w:rsidRPr="00C525C9">
        <w:rPr>
          <w:rFonts w:asciiTheme="minorHAnsi" w:hAnsiTheme="minorHAnsi" w:cstheme="minorHAnsi"/>
          <w:i/>
          <w:sz w:val="20"/>
        </w:rPr>
        <w:t>WirtschaftsWoche</w:t>
      </w:r>
      <w:proofErr w:type="spellEnd"/>
      <w:r w:rsidRPr="00C525C9">
        <w:rPr>
          <w:rFonts w:asciiTheme="minorHAnsi" w:hAnsiTheme="minorHAnsi" w:cstheme="minorHAnsi"/>
          <w:i/>
          <w:sz w:val="20"/>
        </w:rPr>
        <w:t xml:space="preserve"> wird Bierbach als Top-Anwalt empfohlen.</w:t>
      </w:r>
    </w:p>
    <w:p w:rsidR="00286543" w:rsidRDefault="00286543" w:rsidP="00286543">
      <w:pPr>
        <w:shd w:val="clear" w:color="auto" w:fill="FFFFFF"/>
        <w:spacing w:line="360" w:lineRule="auto"/>
        <w:rPr>
          <w:rFonts w:asciiTheme="minorHAnsi" w:hAnsiTheme="minorHAnsi" w:cstheme="minorHAnsi"/>
          <w:i/>
          <w:sz w:val="20"/>
        </w:rPr>
      </w:pPr>
    </w:p>
    <w:p w:rsidR="00286543" w:rsidRPr="00C525C9" w:rsidRDefault="00286543" w:rsidP="00286543">
      <w:pPr>
        <w:shd w:val="clear" w:color="auto" w:fill="FFFFFF"/>
        <w:spacing w:line="360" w:lineRule="auto"/>
        <w:rPr>
          <w:rFonts w:asciiTheme="minorHAnsi" w:hAnsiTheme="minorHAnsi" w:cstheme="minorHAnsi"/>
          <w:i/>
          <w:sz w:val="20"/>
        </w:rPr>
      </w:pPr>
    </w:p>
    <w:p w:rsidR="00286543" w:rsidRDefault="00286543" w:rsidP="00286543">
      <w:pPr>
        <w:spacing w:after="160" w:line="276" w:lineRule="auto"/>
        <w:rPr>
          <w:rFonts w:asciiTheme="minorHAnsi" w:hAnsiTheme="minorHAnsi" w:cstheme="minorHAnsi"/>
          <w:i/>
          <w:sz w:val="20"/>
        </w:rPr>
      </w:pPr>
      <w:r w:rsidRPr="00C525C9">
        <w:rPr>
          <w:rFonts w:asciiTheme="minorHAnsi" w:hAnsiTheme="minorHAnsi" w:cstheme="minorHAnsi"/>
          <w:b/>
          <w:i/>
          <w:sz w:val="20"/>
        </w:rPr>
        <w:t>Über Green City</w:t>
      </w:r>
      <w:r>
        <w:rPr>
          <w:rFonts w:asciiTheme="minorHAnsi" w:hAnsiTheme="minorHAnsi" w:cstheme="minorHAnsi"/>
          <w:b/>
          <w:i/>
          <w:sz w:val="20"/>
        </w:rPr>
        <w:t xml:space="preserve"> AG</w:t>
      </w:r>
      <w:r w:rsidRPr="00C525C9">
        <w:rPr>
          <w:rFonts w:asciiTheme="minorHAnsi" w:hAnsiTheme="minorHAnsi" w:cstheme="minorHAnsi"/>
          <w:b/>
          <w:i/>
          <w:sz w:val="20"/>
        </w:rPr>
        <w:t xml:space="preserve"> </w:t>
      </w:r>
      <w:r w:rsidR="00A01E7D">
        <w:rPr>
          <w:rFonts w:asciiTheme="minorHAnsi" w:hAnsiTheme="minorHAnsi" w:cstheme="minorHAnsi"/>
          <w:b/>
          <w:i/>
          <w:sz w:val="20"/>
        </w:rPr>
        <w:t>i.I.</w:t>
      </w:r>
      <w:bookmarkStart w:id="0" w:name="_GoBack"/>
      <w:bookmarkEnd w:id="0"/>
      <w:r>
        <w:rPr>
          <w:rFonts w:asciiTheme="minorHAnsi" w:hAnsiTheme="minorHAnsi" w:cstheme="minorHAnsi"/>
          <w:b/>
          <w:i/>
          <w:sz w:val="20"/>
        </w:rPr>
        <w:br/>
      </w:r>
      <w:r w:rsidRPr="00C525C9">
        <w:rPr>
          <w:rFonts w:asciiTheme="minorHAnsi" w:hAnsiTheme="minorHAnsi" w:cstheme="minorHAnsi"/>
          <w:i/>
          <w:sz w:val="20"/>
        </w:rPr>
        <w:t xml:space="preserve">Die Green City AG steht für die Beschleunigung der Energiewende, denn die Umstellung unserer Energieerzeugung auf 100 Prozent Erneuerbare Energien ist die entscheidende Klimaschutzmaßahme. Green City AG leistet einen maßgeblichen Beitrag für eine ressourcenunabhängige und klimafreundliche Energieversorgung durch Wind- und Solarkraftwerke. Die Green City-Gruppe ist ein ganzheitlicher Anbieter für Entwicklung, Bau, Finanzierung und Betrieb von Erneuerbaren-Energien-Anlagen in Europa. Für ihre hohen Nachhaltigkeitsstandards und ihr Engagement für die Energie- und Verkehrswende wurde die Green City AG mit zahlreichen Preisen wie u.a. dem Corporate Design Preis 2019, dem Mobilitätspreis der Metropolregion München 2018, dem Europäischen Solarpreis 2017, dem Best Community Award 2016 sowie dem </w:t>
      </w:r>
      <w:proofErr w:type="spellStart"/>
      <w:r w:rsidRPr="00C525C9">
        <w:rPr>
          <w:rFonts w:asciiTheme="minorHAnsi" w:hAnsiTheme="minorHAnsi" w:cstheme="minorHAnsi"/>
          <w:i/>
          <w:sz w:val="20"/>
        </w:rPr>
        <w:t>Energy</w:t>
      </w:r>
      <w:proofErr w:type="spellEnd"/>
      <w:r w:rsidRPr="00C525C9">
        <w:rPr>
          <w:rFonts w:asciiTheme="minorHAnsi" w:hAnsiTheme="minorHAnsi" w:cstheme="minorHAnsi"/>
          <w:i/>
          <w:sz w:val="20"/>
        </w:rPr>
        <w:t xml:space="preserve"> </w:t>
      </w:r>
      <w:proofErr w:type="spellStart"/>
      <w:r w:rsidRPr="00C525C9">
        <w:rPr>
          <w:rFonts w:asciiTheme="minorHAnsi" w:hAnsiTheme="minorHAnsi" w:cstheme="minorHAnsi"/>
          <w:i/>
          <w:sz w:val="20"/>
        </w:rPr>
        <w:t>GlobeAward</w:t>
      </w:r>
      <w:proofErr w:type="spellEnd"/>
      <w:r w:rsidRPr="00C525C9">
        <w:rPr>
          <w:rFonts w:asciiTheme="minorHAnsi" w:hAnsiTheme="minorHAnsi" w:cstheme="minorHAnsi"/>
          <w:i/>
          <w:sz w:val="20"/>
        </w:rPr>
        <w:t xml:space="preserve"> 2013 ausgezeichnet.</w:t>
      </w:r>
    </w:p>
    <w:p w:rsidR="00286543" w:rsidRDefault="00286543" w:rsidP="00286543">
      <w:pPr>
        <w:spacing w:after="160" w:line="276" w:lineRule="auto"/>
        <w:rPr>
          <w:rFonts w:asciiTheme="minorHAnsi" w:hAnsiTheme="minorHAnsi" w:cstheme="minorHAnsi"/>
          <w:i/>
          <w:sz w:val="20"/>
        </w:rPr>
      </w:pPr>
    </w:p>
    <w:p w:rsidR="00286543" w:rsidRPr="002419F1" w:rsidRDefault="00286543" w:rsidP="00286543">
      <w:pPr>
        <w:pStyle w:val="MHBKText"/>
        <w:spacing w:after="0"/>
        <w:rPr>
          <w:rFonts w:asciiTheme="minorHAnsi" w:hAnsiTheme="minorHAnsi" w:cstheme="minorHAnsi"/>
          <w:b/>
          <w:i/>
          <w:sz w:val="20"/>
        </w:rPr>
      </w:pPr>
      <w:r>
        <w:rPr>
          <w:rFonts w:asciiTheme="minorHAnsi" w:hAnsiTheme="minorHAnsi" w:cstheme="minorHAnsi"/>
          <w:b/>
          <w:i/>
          <w:sz w:val="20"/>
        </w:rPr>
        <w:t>P</w:t>
      </w:r>
      <w:r w:rsidRPr="002419F1">
        <w:rPr>
          <w:rFonts w:asciiTheme="minorHAnsi" w:hAnsiTheme="minorHAnsi" w:cstheme="minorHAnsi"/>
          <w:b/>
          <w:i/>
          <w:sz w:val="20"/>
        </w:rPr>
        <w:t xml:space="preserve">ressekontakte </w:t>
      </w:r>
    </w:p>
    <w:p w:rsidR="00286543" w:rsidRDefault="00286543" w:rsidP="00286543">
      <w:pPr>
        <w:pStyle w:val="MHBKText"/>
        <w:spacing w:after="0"/>
        <w:rPr>
          <w:rFonts w:asciiTheme="minorHAnsi" w:hAnsiTheme="minorHAnsi" w:cstheme="minorHAnsi"/>
          <w:b/>
          <w:i/>
          <w:sz w:val="20"/>
        </w:rPr>
      </w:pPr>
    </w:p>
    <w:tbl>
      <w:tblPr>
        <w:tblStyle w:val="Tabellenraster"/>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6543" w:rsidTr="00867B1B">
        <w:tc>
          <w:tcPr>
            <w:tcW w:w="4531" w:type="dxa"/>
          </w:tcPr>
          <w:p w:rsidR="00286543" w:rsidRDefault="00286543" w:rsidP="00867B1B">
            <w:pPr>
              <w:pStyle w:val="MHBKText"/>
              <w:spacing w:after="0" w:line="276" w:lineRule="auto"/>
              <w:rPr>
                <w:rFonts w:asciiTheme="minorHAnsi" w:hAnsiTheme="minorHAnsi" w:cstheme="minorHAnsi"/>
                <w:b/>
                <w:i/>
                <w:sz w:val="20"/>
              </w:rPr>
            </w:pPr>
            <w:r w:rsidRPr="00C525C9">
              <w:rPr>
                <w:rFonts w:asciiTheme="minorHAnsi" w:hAnsiTheme="minorHAnsi" w:cstheme="minorHAnsi"/>
                <w:b/>
                <w:i/>
                <w:sz w:val="20"/>
              </w:rPr>
              <w:t xml:space="preserve">Kanzlei Müller-Heydenreich Bierbach &amp; Kollegen </w:t>
            </w:r>
          </w:p>
          <w:p w:rsidR="00286543" w:rsidRPr="00CC1E10" w:rsidRDefault="00286543" w:rsidP="00867B1B">
            <w:pPr>
              <w:pStyle w:val="MHBKText"/>
              <w:spacing w:after="0" w:line="276" w:lineRule="auto"/>
              <w:rPr>
                <w:rFonts w:asciiTheme="minorHAnsi" w:hAnsiTheme="minorHAnsi" w:cstheme="minorHAnsi"/>
                <w:i/>
                <w:sz w:val="20"/>
              </w:rPr>
            </w:pPr>
            <w:r>
              <w:rPr>
                <w:rFonts w:asciiTheme="minorHAnsi" w:hAnsiTheme="minorHAnsi" w:cstheme="minorHAnsi"/>
                <w:i/>
                <w:sz w:val="20"/>
              </w:rPr>
              <w:t>Pressearbeit</w:t>
            </w:r>
          </w:p>
          <w:p w:rsidR="00286543" w:rsidRPr="00C525C9" w:rsidRDefault="00286543" w:rsidP="00867B1B">
            <w:pPr>
              <w:autoSpaceDE w:val="0"/>
              <w:autoSpaceDN w:val="0"/>
              <w:adjustRightInd w:val="0"/>
              <w:spacing w:line="276" w:lineRule="auto"/>
              <w:jc w:val="both"/>
              <w:rPr>
                <w:rFonts w:asciiTheme="minorHAnsi" w:hAnsiTheme="minorHAnsi" w:cstheme="minorHAnsi"/>
                <w:i/>
                <w:sz w:val="20"/>
              </w:rPr>
            </w:pPr>
            <w:r w:rsidRPr="00C525C9">
              <w:rPr>
                <w:rFonts w:asciiTheme="minorHAnsi" w:hAnsiTheme="minorHAnsi" w:cstheme="minorHAnsi"/>
                <w:i/>
                <w:sz w:val="20"/>
              </w:rPr>
              <w:t>Nicole Huss</w:t>
            </w:r>
          </w:p>
          <w:p w:rsidR="00286543" w:rsidRDefault="00286543" w:rsidP="00867B1B">
            <w:pPr>
              <w:autoSpaceDE w:val="0"/>
              <w:autoSpaceDN w:val="0"/>
              <w:adjustRightInd w:val="0"/>
              <w:spacing w:line="276" w:lineRule="auto"/>
              <w:jc w:val="both"/>
              <w:rPr>
                <w:rFonts w:asciiTheme="minorHAnsi" w:hAnsiTheme="minorHAnsi" w:cstheme="minorHAnsi"/>
                <w:i/>
                <w:sz w:val="20"/>
              </w:rPr>
            </w:pPr>
            <w:r w:rsidRPr="00C525C9">
              <w:rPr>
                <w:rFonts w:asciiTheme="minorHAnsi" w:hAnsiTheme="minorHAnsi" w:cstheme="minorHAnsi"/>
                <w:i/>
                <w:sz w:val="20"/>
              </w:rPr>
              <w:t xml:space="preserve">Tel.: +49 </w:t>
            </w:r>
            <w:r>
              <w:rPr>
                <w:rFonts w:asciiTheme="minorHAnsi" w:hAnsiTheme="minorHAnsi" w:cstheme="minorHAnsi"/>
                <w:i/>
                <w:sz w:val="20"/>
              </w:rPr>
              <w:t>(</w:t>
            </w:r>
            <w:r w:rsidRPr="00C525C9">
              <w:rPr>
                <w:rFonts w:asciiTheme="minorHAnsi" w:hAnsiTheme="minorHAnsi" w:cstheme="minorHAnsi"/>
                <w:i/>
                <w:sz w:val="20"/>
              </w:rPr>
              <w:t>89</w:t>
            </w:r>
            <w:r>
              <w:rPr>
                <w:rFonts w:asciiTheme="minorHAnsi" w:hAnsiTheme="minorHAnsi" w:cstheme="minorHAnsi"/>
                <w:i/>
                <w:sz w:val="20"/>
              </w:rPr>
              <w:t>)</w:t>
            </w:r>
            <w:r w:rsidRPr="00C525C9">
              <w:rPr>
                <w:rFonts w:asciiTheme="minorHAnsi" w:hAnsiTheme="minorHAnsi" w:cstheme="minorHAnsi"/>
                <w:i/>
                <w:sz w:val="20"/>
              </w:rPr>
              <w:t xml:space="preserve"> 130 12 52</w:t>
            </w:r>
            <w:r>
              <w:rPr>
                <w:rFonts w:asciiTheme="minorHAnsi" w:hAnsiTheme="minorHAnsi" w:cstheme="minorHAnsi"/>
                <w:i/>
                <w:sz w:val="20"/>
              </w:rPr>
              <w:t xml:space="preserve">2 </w:t>
            </w:r>
          </w:p>
          <w:p w:rsidR="00286543" w:rsidRPr="00C525C9" w:rsidRDefault="00286543" w:rsidP="00867B1B">
            <w:pPr>
              <w:autoSpaceDE w:val="0"/>
              <w:autoSpaceDN w:val="0"/>
              <w:adjustRightInd w:val="0"/>
              <w:spacing w:line="276" w:lineRule="auto"/>
              <w:jc w:val="both"/>
              <w:rPr>
                <w:rFonts w:asciiTheme="minorHAnsi" w:hAnsiTheme="minorHAnsi" w:cstheme="minorHAnsi"/>
                <w:i/>
                <w:sz w:val="20"/>
              </w:rPr>
            </w:pPr>
            <w:r w:rsidRPr="00C525C9">
              <w:rPr>
                <w:rFonts w:asciiTheme="minorHAnsi" w:hAnsiTheme="minorHAnsi" w:cstheme="minorHAnsi"/>
                <w:i/>
                <w:sz w:val="20"/>
              </w:rPr>
              <w:t xml:space="preserve">E-Mail: </w:t>
            </w:r>
            <w:hyperlink r:id="rId9" w:history="1">
              <w:r w:rsidRPr="00C525C9">
                <w:rPr>
                  <w:rFonts w:asciiTheme="minorHAnsi" w:hAnsiTheme="minorHAnsi" w:cstheme="minorHAnsi"/>
                  <w:i/>
                  <w:sz w:val="20"/>
                </w:rPr>
                <w:t>presse@mhbk.de</w:t>
              </w:r>
            </w:hyperlink>
          </w:p>
          <w:p w:rsidR="00286543" w:rsidRPr="00C525C9" w:rsidRDefault="00286543" w:rsidP="00867B1B">
            <w:pPr>
              <w:pStyle w:val="MHBKText"/>
              <w:spacing w:after="0" w:line="276" w:lineRule="auto"/>
              <w:rPr>
                <w:rFonts w:asciiTheme="minorHAnsi" w:hAnsiTheme="minorHAnsi" w:cstheme="minorHAnsi"/>
                <w:i/>
                <w:sz w:val="20"/>
              </w:rPr>
            </w:pPr>
          </w:p>
          <w:p w:rsidR="00286543" w:rsidRPr="005E187E" w:rsidRDefault="00286543" w:rsidP="00867B1B">
            <w:pPr>
              <w:pStyle w:val="MHBKText"/>
              <w:spacing w:after="0" w:line="276" w:lineRule="auto"/>
              <w:rPr>
                <w:rFonts w:asciiTheme="minorHAnsi" w:hAnsiTheme="minorHAnsi" w:cstheme="minorHAnsi"/>
                <w:b/>
                <w:i/>
                <w:sz w:val="20"/>
                <w:lang w:val="en-US"/>
              </w:rPr>
            </w:pPr>
          </w:p>
        </w:tc>
        <w:tc>
          <w:tcPr>
            <w:tcW w:w="4531" w:type="dxa"/>
          </w:tcPr>
          <w:p w:rsidR="00286543" w:rsidRDefault="00286543" w:rsidP="00867B1B">
            <w:pPr>
              <w:autoSpaceDE w:val="0"/>
              <w:autoSpaceDN w:val="0"/>
              <w:adjustRightInd w:val="0"/>
              <w:spacing w:line="276" w:lineRule="auto"/>
              <w:ind w:left="708"/>
              <w:jc w:val="both"/>
              <w:rPr>
                <w:rFonts w:asciiTheme="minorHAnsi" w:hAnsiTheme="minorHAnsi" w:cstheme="minorHAnsi"/>
                <w:b/>
                <w:i/>
                <w:sz w:val="20"/>
              </w:rPr>
            </w:pPr>
            <w:r w:rsidRPr="00C525C9">
              <w:rPr>
                <w:rFonts w:asciiTheme="minorHAnsi" w:hAnsiTheme="minorHAnsi" w:cstheme="minorHAnsi"/>
                <w:b/>
                <w:i/>
                <w:sz w:val="20"/>
              </w:rPr>
              <w:t>Green City AG</w:t>
            </w:r>
            <w:r w:rsidR="00764B2C">
              <w:rPr>
                <w:rFonts w:asciiTheme="minorHAnsi" w:hAnsiTheme="minorHAnsi" w:cstheme="minorHAnsi"/>
                <w:b/>
                <w:i/>
                <w:sz w:val="20"/>
              </w:rPr>
              <w:t xml:space="preserve"> </w:t>
            </w:r>
            <w:proofErr w:type="spellStart"/>
            <w:r w:rsidR="00A01E7D">
              <w:rPr>
                <w:rFonts w:asciiTheme="minorHAnsi" w:hAnsiTheme="minorHAnsi" w:cstheme="minorHAnsi"/>
                <w:b/>
                <w:i/>
                <w:sz w:val="20"/>
              </w:rPr>
              <w:t>i.I</w:t>
            </w:r>
            <w:proofErr w:type="spellEnd"/>
            <w:r w:rsidR="00A01E7D">
              <w:rPr>
                <w:rFonts w:asciiTheme="minorHAnsi" w:hAnsiTheme="minorHAnsi" w:cstheme="minorHAnsi"/>
                <w:b/>
                <w:i/>
                <w:sz w:val="20"/>
              </w:rPr>
              <w:t>.</w:t>
            </w:r>
          </w:p>
          <w:p w:rsidR="00286543" w:rsidRPr="00092FD5" w:rsidRDefault="00286543" w:rsidP="00867B1B">
            <w:pPr>
              <w:autoSpaceDE w:val="0"/>
              <w:autoSpaceDN w:val="0"/>
              <w:adjustRightInd w:val="0"/>
              <w:spacing w:line="276" w:lineRule="auto"/>
              <w:ind w:left="708"/>
              <w:jc w:val="both"/>
              <w:rPr>
                <w:rFonts w:asciiTheme="minorHAnsi" w:hAnsiTheme="minorHAnsi" w:cstheme="minorHAnsi"/>
                <w:i/>
                <w:sz w:val="20"/>
              </w:rPr>
            </w:pPr>
            <w:r w:rsidRPr="00092FD5">
              <w:rPr>
                <w:rFonts w:asciiTheme="minorHAnsi" w:hAnsiTheme="minorHAnsi" w:cstheme="minorHAnsi"/>
                <w:i/>
                <w:sz w:val="20"/>
              </w:rPr>
              <w:t>Unternehmenskommunikation</w:t>
            </w:r>
          </w:p>
          <w:p w:rsidR="00286543" w:rsidRDefault="00286543" w:rsidP="00867B1B">
            <w:pPr>
              <w:autoSpaceDE w:val="0"/>
              <w:autoSpaceDN w:val="0"/>
              <w:adjustRightInd w:val="0"/>
              <w:spacing w:line="276" w:lineRule="auto"/>
              <w:ind w:left="708"/>
              <w:jc w:val="both"/>
              <w:rPr>
                <w:rFonts w:asciiTheme="minorHAnsi" w:hAnsiTheme="minorHAnsi" w:cstheme="minorHAnsi"/>
                <w:i/>
                <w:sz w:val="20"/>
              </w:rPr>
            </w:pPr>
            <w:r w:rsidRPr="00C525C9">
              <w:rPr>
                <w:rFonts w:asciiTheme="minorHAnsi" w:hAnsiTheme="minorHAnsi" w:cstheme="minorHAnsi"/>
                <w:i/>
                <w:sz w:val="20"/>
              </w:rPr>
              <w:t>Martin Betzold</w:t>
            </w:r>
          </w:p>
          <w:p w:rsidR="00286543" w:rsidRPr="00C525C9" w:rsidRDefault="00286543" w:rsidP="00867B1B">
            <w:pPr>
              <w:autoSpaceDE w:val="0"/>
              <w:autoSpaceDN w:val="0"/>
              <w:adjustRightInd w:val="0"/>
              <w:spacing w:line="276" w:lineRule="auto"/>
              <w:ind w:left="708"/>
              <w:jc w:val="both"/>
              <w:rPr>
                <w:rFonts w:asciiTheme="minorHAnsi" w:hAnsiTheme="minorHAnsi" w:cstheme="minorHAnsi"/>
                <w:i/>
                <w:sz w:val="20"/>
              </w:rPr>
            </w:pPr>
            <w:r>
              <w:rPr>
                <w:rFonts w:asciiTheme="minorHAnsi" w:hAnsiTheme="minorHAnsi" w:cstheme="minorHAnsi"/>
                <w:i/>
                <w:sz w:val="20"/>
              </w:rPr>
              <w:t>Tel.: +49 (174) 339 72 44</w:t>
            </w:r>
          </w:p>
          <w:p w:rsidR="00286543" w:rsidRPr="00C525C9" w:rsidRDefault="00286543" w:rsidP="00867B1B">
            <w:pPr>
              <w:autoSpaceDE w:val="0"/>
              <w:autoSpaceDN w:val="0"/>
              <w:adjustRightInd w:val="0"/>
              <w:spacing w:line="276" w:lineRule="auto"/>
              <w:ind w:left="708"/>
              <w:jc w:val="both"/>
              <w:rPr>
                <w:rFonts w:asciiTheme="minorHAnsi" w:hAnsiTheme="minorHAnsi" w:cstheme="minorHAnsi"/>
                <w:i/>
                <w:sz w:val="20"/>
              </w:rPr>
            </w:pPr>
            <w:r w:rsidRPr="00C525C9">
              <w:rPr>
                <w:rFonts w:asciiTheme="minorHAnsi" w:hAnsiTheme="minorHAnsi" w:cstheme="minorHAnsi"/>
                <w:i/>
                <w:sz w:val="20"/>
              </w:rPr>
              <w:t>E-Mail: presse-ag@greencity.de</w:t>
            </w:r>
          </w:p>
          <w:p w:rsidR="00286543" w:rsidRDefault="00286543" w:rsidP="00867B1B">
            <w:pPr>
              <w:pStyle w:val="MHBKText"/>
              <w:spacing w:after="0"/>
              <w:rPr>
                <w:rFonts w:asciiTheme="minorHAnsi" w:hAnsiTheme="minorHAnsi" w:cstheme="minorHAnsi"/>
                <w:b/>
                <w:i/>
                <w:sz w:val="20"/>
              </w:rPr>
            </w:pPr>
          </w:p>
        </w:tc>
      </w:tr>
    </w:tbl>
    <w:p w:rsidR="00286543" w:rsidRDefault="00286543" w:rsidP="00286543"/>
    <w:sectPr w:rsidR="00286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LF">
    <w:altName w:val="Corbel"/>
    <w:charset w:val="00"/>
    <w:family w:val="swiss"/>
    <w:pitch w:val="variable"/>
    <w:sig w:usb0="A000006F" w:usb1="1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1306D"/>
    <w:multiLevelType w:val="multilevel"/>
    <w:tmpl w:val="DF8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43"/>
    <w:rsid w:val="001B4E17"/>
    <w:rsid w:val="00286543"/>
    <w:rsid w:val="00764B2C"/>
    <w:rsid w:val="00970A97"/>
    <w:rsid w:val="00A01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68D0-5870-4685-9369-118E28D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6543"/>
    <w:pPr>
      <w:spacing w:after="0" w:line="240" w:lineRule="auto"/>
    </w:pPr>
    <w:rPr>
      <w:rFonts w:ascii="TheSansOfficeLF" w:eastAsia="Times New Roman" w:hAnsi="TheSansOfficeLF"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HBKText">
    <w:name w:val="MHBK_Text"/>
    <w:basedOn w:val="Standard"/>
    <w:qFormat/>
    <w:rsid w:val="00286543"/>
    <w:pPr>
      <w:spacing w:after="160" w:line="320" w:lineRule="exact"/>
      <w:jc w:val="both"/>
    </w:pPr>
  </w:style>
  <w:style w:type="table" w:styleId="Tabellenraster">
    <w:name w:val="Table Grid"/>
    <w:basedOn w:val="NormaleTabelle"/>
    <w:uiPriority w:val="39"/>
    <w:rsid w:val="0028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86543"/>
    <w:rPr>
      <w:sz w:val="16"/>
      <w:szCs w:val="16"/>
    </w:rPr>
  </w:style>
  <w:style w:type="paragraph" w:styleId="Kommentartext">
    <w:name w:val="annotation text"/>
    <w:basedOn w:val="Standard"/>
    <w:link w:val="KommentartextZchn"/>
    <w:uiPriority w:val="99"/>
    <w:semiHidden/>
    <w:unhideWhenUsed/>
    <w:rsid w:val="00286543"/>
    <w:rPr>
      <w:sz w:val="20"/>
    </w:rPr>
  </w:style>
  <w:style w:type="character" w:customStyle="1" w:styleId="KommentartextZchn">
    <w:name w:val="Kommentartext Zchn"/>
    <w:basedOn w:val="Absatz-Standardschriftart"/>
    <w:link w:val="Kommentartext"/>
    <w:uiPriority w:val="99"/>
    <w:semiHidden/>
    <w:rsid w:val="00286543"/>
    <w:rPr>
      <w:rFonts w:ascii="TheSansOfficeLF" w:eastAsia="Times New Roman" w:hAnsi="TheSansOfficeLF" w:cs="Times New Roman"/>
      <w:sz w:val="20"/>
      <w:szCs w:val="20"/>
      <w:lang w:eastAsia="de-DE"/>
    </w:rPr>
  </w:style>
  <w:style w:type="paragraph" w:styleId="Sprechblasentext">
    <w:name w:val="Balloon Text"/>
    <w:basedOn w:val="Standard"/>
    <w:link w:val="SprechblasentextZchn"/>
    <w:uiPriority w:val="99"/>
    <w:semiHidden/>
    <w:unhideWhenUsed/>
    <w:rsid w:val="002865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5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venbrucher-kreis.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mhb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4</cp:revision>
  <cp:lastPrinted>2022-05-02T07:42:00Z</cp:lastPrinted>
  <dcterms:created xsi:type="dcterms:W3CDTF">2022-05-02T07:32:00Z</dcterms:created>
  <dcterms:modified xsi:type="dcterms:W3CDTF">2022-05-02T07:58:00Z</dcterms:modified>
</cp:coreProperties>
</file>